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D1DF" w14:textId="06A73EAC" w:rsidR="00363488" w:rsidRDefault="001A033D" w:rsidP="003B0E57">
      <w:pPr>
        <w:tabs>
          <w:tab w:val="right" w:pos="12870"/>
        </w:tabs>
        <w:spacing w:after="0" w:line="240" w:lineRule="auto"/>
        <w:ind w:left="-882"/>
        <w:rPr>
          <w:rFonts w:ascii="Calibri" w:eastAsia="Times New Roman" w:hAnsi="Calibri" w:cs="Times New Roman"/>
          <w:color w:val="000000"/>
          <w:sz w:val="20"/>
        </w:rPr>
      </w:pPr>
      <w:r w:rsidRPr="001A03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UC Campus to C</w:t>
      </w:r>
      <w:r w:rsidR="004F023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ampus Indirect Cost Application Job Aid</w:t>
      </w:r>
      <w:r w:rsidR="0036348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="00363488" w:rsidRPr="001A033D">
        <w:rPr>
          <w:rFonts w:ascii="Calibri" w:eastAsia="Times New Roman" w:hAnsi="Calibri" w:cs="Times New Roman"/>
          <w:color w:val="000000"/>
          <w:sz w:val="20"/>
        </w:rPr>
        <w:t xml:space="preserve">Job Aid: </w:t>
      </w:r>
      <w:r w:rsidR="009E7CD6">
        <w:rPr>
          <w:rFonts w:ascii="Calibri" w:eastAsia="Times New Roman" w:hAnsi="Calibri" w:cs="Times New Roman"/>
          <w:color w:val="000000"/>
          <w:sz w:val="20"/>
        </w:rPr>
        <w:t>Dec 21, 2021</w:t>
      </w:r>
    </w:p>
    <w:p w14:paraId="0654E33D" w14:textId="77777777" w:rsidR="005D25DC" w:rsidRDefault="005D25DC" w:rsidP="003B0E57">
      <w:pPr>
        <w:tabs>
          <w:tab w:val="right" w:pos="12870"/>
        </w:tabs>
        <w:spacing w:after="0" w:line="240" w:lineRule="auto"/>
        <w:ind w:left="-882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40878EF6" w14:textId="111E549B" w:rsidR="009C4015" w:rsidRPr="00363488" w:rsidRDefault="00CE32DF" w:rsidP="00C57BB4">
      <w:pPr>
        <w:spacing w:after="0" w:line="240" w:lineRule="auto"/>
        <w:ind w:left="-882"/>
        <w:rPr>
          <w:rFonts w:ascii="Calibri" w:eastAsia="Times New Roman" w:hAnsi="Calibri" w:cs="Times New Roman"/>
          <w:color w:val="000000"/>
          <w:sz w:val="20"/>
        </w:rPr>
      </w:pPr>
      <w:r>
        <w:rPr>
          <w:rFonts w:ascii="Calibri" w:eastAsia="Times New Roman" w:hAnsi="Calibri" w:cs="Times New Roman"/>
          <w:color w:val="000000"/>
          <w:sz w:val="20"/>
        </w:rPr>
        <w:t>This job aid has been created to clarify indirect cost application when UCSF and another UC campus are working together on a specific activity requiring significant time and resource investment.</w:t>
      </w:r>
    </w:p>
    <w:p w14:paraId="2B845813" w14:textId="77777777" w:rsidR="009C4015" w:rsidRPr="007C4B6B" w:rsidRDefault="009C4015" w:rsidP="009C4015">
      <w:pPr>
        <w:tabs>
          <w:tab w:val="left" w:pos="-422"/>
        </w:tabs>
        <w:spacing w:after="0" w:line="240" w:lineRule="auto"/>
        <w:ind w:left="-882"/>
        <w:rPr>
          <w:rFonts w:ascii="Calibri" w:eastAsia="Times New Roman" w:hAnsi="Calibri" w:cs="Times New Roman"/>
          <w:color w:val="000000"/>
          <w:sz w:val="12"/>
        </w:rPr>
      </w:pPr>
    </w:p>
    <w:p w14:paraId="0F33892D" w14:textId="77777777" w:rsidR="00363488" w:rsidRPr="00363488" w:rsidRDefault="001A033D" w:rsidP="00363488">
      <w:pPr>
        <w:tabs>
          <w:tab w:val="left" w:pos="-422"/>
        </w:tabs>
        <w:spacing w:after="0" w:line="240" w:lineRule="auto"/>
        <w:ind w:left="-882"/>
        <w:rPr>
          <w:rFonts w:ascii="Calibri" w:eastAsia="Times New Roman" w:hAnsi="Calibri" w:cs="Times New Roman"/>
          <w:color w:val="000000"/>
          <w:sz w:val="20"/>
        </w:rPr>
      </w:pPr>
      <w:r w:rsidRPr="001A033D">
        <w:rPr>
          <w:rFonts w:ascii="Calibri" w:eastAsia="Times New Roman" w:hAnsi="Calibri" w:cs="Times New Roman"/>
          <w:color w:val="000000"/>
          <w:sz w:val="20"/>
        </w:rPr>
        <w:t>Base Principles: UC campuses are considered internal to each other for F&amp;A purposes.  MOU's or other written agreements are recommended to assure scope and value terms</w:t>
      </w:r>
      <w:r w:rsidRPr="00363488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363488">
        <w:rPr>
          <w:sz w:val="20"/>
        </w:rPr>
        <w:t>are clear when working with another UC campus</w:t>
      </w:r>
    </w:p>
    <w:p w14:paraId="472246A2" w14:textId="34E58AF8" w:rsidR="00363488" w:rsidRPr="00363488" w:rsidRDefault="009E7CD6" w:rsidP="00363488">
      <w:pPr>
        <w:spacing w:after="0" w:line="240" w:lineRule="auto"/>
        <w:jc w:val="right"/>
        <w:rPr>
          <w:rFonts w:ascii="Calibri" w:eastAsia="Times New Roman" w:hAnsi="Calibri" w:cs="Times New Roman"/>
          <w:color w:val="0000FF"/>
          <w:sz w:val="20"/>
          <w:u w:val="single"/>
        </w:rPr>
      </w:pPr>
      <w:hyperlink r:id="rId8" w:history="1">
        <w:r w:rsidR="00363488" w:rsidRPr="00363488">
          <w:rPr>
            <w:rFonts w:ascii="Calibri" w:eastAsia="Times New Roman" w:hAnsi="Calibri" w:cs="Times New Roman"/>
            <w:color w:val="0000FF"/>
            <w:sz w:val="20"/>
            <w:u w:val="single"/>
          </w:rPr>
          <w:t>Reference: Guidelines and Requirements for Funds Received from Extramural Sources</w:t>
        </w:r>
      </w:hyperlink>
    </w:p>
    <w:p w14:paraId="08FC930A" w14:textId="3C87F303" w:rsidR="00EC7F33" w:rsidRDefault="009E7CD6" w:rsidP="00363488">
      <w:pPr>
        <w:spacing w:after="0" w:line="240" w:lineRule="auto"/>
        <w:jc w:val="right"/>
        <w:rPr>
          <w:rFonts w:ascii="Calibri" w:eastAsia="Times New Roman" w:hAnsi="Calibri" w:cs="Times New Roman"/>
          <w:color w:val="0000FF"/>
          <w:sz w:val="20"/>
          <w:u w:val="single"/>
        </w:rPr>
      </w:pPr>
      <w:hyperlink r:id="rId9" w:history="1">
        <w:r w:rsidR="00363488" w:rsidRPr="00363488">
          <w:rPr>
            <w:rFonts w:ascii="Calibri" w:eastAsia="Times New Roman" w:hAnsi="Calibri" w:cs="Times New Roman"/>
            <w:color w:val="0000FF"/>
            <w:sz w:val="20"/>
            <w:u w:val="single"/>
          </w:rPr>
          <w:t>UC Sister Campus Exception Link</w:t>
        </w:r>
      </w:hyperlink>
    </w:p>
    <w:tbl>
      <w:tblPr>
        <w:tblW w:w="14560" w:type="dxa"/>
        <w:tblInd w:w="-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070"/>
        <w:gridCol w:w="3420"/>
        <w:gridCol w:w="3490"/>
        <w:gridCol w:w="4950"/>
      </w:tblGrid>
      <w:tr w:rsidR="00A1184C" w14:paraId="2804185C" w14:textId="3B33ECC6" w:rsidTr="00A1184C">
        <w:trPr>
          <w:trHeight w:val="875"/>
        </w:trPr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auto"/>
              <w:right w:val="nil"/>
            </w:tcBorders>
            <w:shd w:val="clear" w:color="4F81BD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C4081" w14:textId="77777777" w:rsidR="00A1184C" w:rsidRDefault="00A1184C" w:rsidP="00A1184C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4F81BD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378D0" w14:textId="77777777" w:rsidR="00A1184C" w:rsidRPr="00363488" w:rsidRDefault="00A1184C" w:rsidP="00A1184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36348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Activity</w:t>
            </w:r>
          </w:p>
        </w:tc>
        <w:tc>
          <w:tcPr>
            <w:tcW w:w="3420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4F81BD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3383" w14:textId="77777777" w:rsidR="00A1184C" w:rsidRPr="00363488" w:rsidRDefault="00A1184C" w:rsidP="00A1184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36348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OUT</w:t>
            </w:r>
            <w:r w:rsidRPr="0036348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br/>
              <w:t>When UCSF is Prime - Requesting Services from another UC campus</w:t>
            </w:r>
          </w:p>
        </w:tc>
        <w:tc>
          <w:tcPr>
            <w:tcW w:w="349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95B3D7"/>
            </w:tcBorders>
            <w:shd w:val="clear" w:color="4F81BD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8305C" w14:textId="77777777" w:rsidR="00A1184C" w:rsidRPr="00363488" w:rsidRDefault="00A1184C" w:rsidP="00A1184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36348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IN</w:t>
            </w:r>
            <w:r w:rsidRPr="0036348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br/>
              <w:t>When UCSF is the Sub - Providing Services to another UC Campus</w:t>
            </w:r>
          </w:p>
        </w:tc>
        <w:tc>
          <w:tcPr>
            <w:tcW w:w="4950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</w:tcPr>
          <w:p w14:paraId="6F4E5840" w14:textId="20AAE2F9" w:rsidR="00A1184C" w:rsidRPr="00363488" w:rsidRDefault="00A1184C" w:rsidP="00A1184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36348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Definition &amp; Example</w:t>
            </w:r>
          </w:p>
        </w:tc>
      </w:tr>
      <w:tr w:rsidR="00A1184C" w:rsidRPr="00363488" w14:paraId="50D373D0" w14:textId="2FF601BF" w:rsidTr="00A1184C">
        <w:trPr>
          <w:trHeight w:val="1440"/>
        </w:trPr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73A38" w14:textId="77777777" w:rsidR="00A1184C" w:rsidRPr="00363488" w:rsidRDefault="00A1184C" w:rsidP="00A118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1546C" w14:textId="77777777" w:rsidR="000F686E" w:rsidRDefault="00A1184C" w:rsidP="000F686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6348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Sub Contracts/ Sub Awards (Where Original source of funds are external)</w:t>
            </w:r>
            <w:r w:rsidRPr="0036348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(A9)</w:t>
            </w:r>
          </w:p>
          <w:p w14:paraId="3BF1440C" w14:textId="4BC06246" w:rsidR="00226BB8" w:rsidRPr="00363488" w:rsidRDefault="00226BB8" w:rsidP="000F686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</w:t>
            </w:r>
            <w:r w:rsidR="000F68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xamples are for Federal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F68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support, for non-Federal extramural support, refer to the Sponsor’s policy.</w:t>
            </w:r>
          </w:p>
        </w:tc>
        <w:tc>
          <w:tcPr>
            <w:tcW w:w="34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80D48" w14:textId="3F35B1A3" w:rsidR="00226BB8" w:rsidRDefault="00A1184C" w:rsidP="00A118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UCSF is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 subcontracting to another UC campus UCSF waives recovery of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F&amp;A 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>related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to the subcontracted portion.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In contrast, w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>hen subcontracting to a non UC campus F&amp;A is recovered on</w:t>
            </w:r>
            <w:r w:rsidR="000F686E">
              <w:rPr>
                <w:rFonts w:ascii="Calibri" w:hAnsi="Calibri"/>
                <w:color w:val="000000"/>
                <w:sz w:val="18"/>
                <w:szCs w:val="18"/>
              </w:rPr>
              <w:t xml:space="preserve"> the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 first $25K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of the subcontracted 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costs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for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 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ach competitive project period. </w:t>
            </w:r>
          </w:p>
          <w:p w14:paraId="3CFAC3AC" w14:textId="7DE23FEB" w:rsidR="00A1184C" w:rsidRPr="00363488" w:rsidRDefault="00A1184C" w:rsidP="00A118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Note: When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subcontracting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to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 another UC campus with pure UCSF funds this category is not applicable, consider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establishing an 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>MOU.</w:t>
            </w:r>
          </w:p>
        </w:tc>
        <w:tc>
          <w:tcPr>
            <w:tcW w:w="34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1644A" w14:textId="5BF43094" w:rsidR="00A1184C" w:rsidRDefault="00A1184C" w:rsidP="00A118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When  </w:t>
            </w:r>
            <w:r w:rsidR="00226BB8">
              <w:rPr>
                <w:rFonts w:ascii="Calibri" w:hAnsi="Calibri"/>
                <w:color w:val="000000"/>
                <w:sz w:val="18"/>
                <w:szCs w:val="18"/>
              </w:rPr>
              <w:t xml:space="preserve">UCSF is subcontractor 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for another UC campus UCSF collects total applicable F&amp;A on </w:t>
            </w:r>
            <w:r w:rsidR="005D25DC">
              <w:rPr>
                <w:rFonts w:ascii="Calibri" w:hAnsi="Calibri"/>
                <w:color w:val="000000"/>
                <w:sz w:val="18"/>
                <w:szCs w:val="18"/>
              </w:rPr>
              <w:t>Modified Total Direct Cost (MTDC)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at the appr</w:t>
            </w:r>
            <w:r w:rsidR="00226BB8">
              <w:rPr>
                <w:rFonts w:ascii="Calibri" w:hAnsi="Calibri"/>
                <w:color w:val="000000"/>
                <w:sz w:val="18"/>
                <w:szCs w:val="18"/>
              </w:rPr>
              <w:t>opriate UCSF indirect cost rate</w:t>
            </w:r>
          </w:p>
          <w:p w14:paraId="30E15DAD" w14:textId="77777777" w:rsidR="00A1184C" w:rsidRPr="00363488" w:rsidRDefault="00A1184C" w:rsidP="00A118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>Note: When another UC campus is sponsoring the work and no outside funds are involved this category is not applicable, consider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establishing an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 MOU.</w:t>
            </w:r>
          </w:p>
        </w:tc>
        <w:tc>
          <w:tcPr>
            <w:tcW w:w="49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</w:tcPr>
          <w:p w14:paraId="2E88FA4A" w14:textId="2765C575" w:rsidR="00A1184C" w:rsidRPr="00363488" w:rsidRDefault="00A1184C" w:rsidP="00A118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>A contract agreement</w:t>
            </w:r>
            <w:r w:rsidRPr="00363488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to collaborate with a prime awardee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 to perform a specified part of the scope of work </w:t>
            </w:r>
            <w:r w:rsidRPr="0036348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of a sponsored contract or sponsored grant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>. Applicable terms and conditions from the prime award are f</w:t>
            </w:r>
            <w:r w:rsidR="005D25DC">
              <w:rPr>
                <w:rFonts w:ascii="Calibri" w:hAnsi="Calibri"/>
                <w:color w:val="000000"/>
                <w:sz w:val="18"/>
                <w:szCs w:val="18"/>
              </w:rPr>
              <w:t>lowed down to the subrecipient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 party. </w:t>
            </w:r>
            <w:r w:rsidRPr="0036348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Example: i) An award where UC Berkeley has received a prime NIH research grant, and then passes a “sub-award” to UCSF to perform a portion of the research project. </w:t>
            </w:r>
          </w:p>
        </w:tc>
      </w:tr>
      <w:tr w:rsidR="00A1184C" w14:paraId="0183D6FB" w14:textId="24DB3972" w:rsidTr="00A1184C">
        <w:trPr>
          <w:trHeight w:val="1325"/>
        </w:trPr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ED4B8" w14:textId="06D0B1AC" w:rsidR="00A1184C" w:rsidRDefault="00A1184C" w:rsidP="00A11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6EBC" w14:textId="77777777" w:rsidR="00A1184C" w:rsidRPr="00363488" w:rsidRDefault="00A1184C" w:rsidP="00A118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6348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Recharges (internal or internal and external users)</w:t>
            </w:r>
            <w:r w:rsidRPr="0036348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(F1 &amp; F2)</w:t>
            </w:r>
          </w:p>
        </w:tc>
        <w:tc>
          <w:tcPr>
            <w:tcW w:w="34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3781E" w14:textId="77777777" w:rsidR="00A1184C" w:rsidRPr="00363488" w:rsidRDefault="00A1184C" w:rsidP="00A118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When standard products or services are received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by UCSF 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>from another UC campus no F&amp;A is paid as business is considered internal to the UC institution.</w:t>
            </w:r>
          </w:p>
        </w:tc>
        <w:tc>
          <w:tcPr>
            <w:tcW w:w="34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401BF" w14:textId="77777777" w:rsidR="00A1184C" w:rsidRPr="00363488" w:rsidRDefault="00A1184C" w:rsidP="00A118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>When products or services are provided to another UC campus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from a UCSF Recharge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 no F&amp;A is collected as business is considered internal to the UC institution.</w:t>
            </w:r>
          </w:p>
        </w:tc>
        <w:tc>
          <w:tcPr>
            <w:tcW w:w="49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center"/>
          </w:tcPr>
          <w:p w14:paraId="2C7A1458" w14:textId="55EA2A76" w:rsidR="00A1184C" w:rsidRPr="00363488" w:rsidRDefault="00A1184C" w:rsidP="00A118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Mechanism for charging INTERNAL (defined as able to be recharged via a journal) or INTERNAL and EXTERNAL customers for standard products or services.  Recharges may not require Institutional Review Board (IRB) review and approval or involvement of Intellectual Property rights claims. Function like non-profit businesses generating sufficient income to support the cost of operating the activity.  </w:t>
            </w:r>
            <w:r w:rsidRPr="0036348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Example: i) Recharges for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UCB </w:t>
            </w:r>
            <w:r w:rsidRPr="0036348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use of a specialized microscope at UCSF based on pre-set hourly rates. </w:t>
            </w:r>
          </w:p>
        </w:tc>
      </w:tr>
      <w:tr w:rsidR="00A1184C" w14:paraId="3B4F847B" w14:textId="33CDE401" w:rsidTr="00A1184C">
        <w:trPr>
          <w:trHeight w:val="1440"/>
        </w:trPr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AFF73" w14:textId="77777777" w:rsidR="00A1184C" w:rsidRDefault="00A1184C" w:rsidP="00A11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6B553" w14:textId="77777777" w:rsidR="00A1184C" w:rsidRPr="00363488" w:rsidRDefault="00A1184C" w:rsidP="00A118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6348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Memorandum of Understanding – Collaborative Agreement for non-research activities (E3)</w:t>
            </w:r>
          </w:p>
        </w:tc>
        <w:tc>
          <w:tcPr>
            <w:tcW w:w="34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7BFF5" w14:textId="1DAADEE5" w:rsidR="00A1184C" w:rsidRPr="00363488" w:rsidRDefault="00A1184C" w:rsidP="000F68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UCSF will expect to pay the full </w:t>
            </w:r>
            <w:r w:rsidR="000F686E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irect </w:t>
            </w:r>
            <w:r w:rsidR="000F686E"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>ost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 of receiving a product or service from another UC campus. Per agreement however, no F&amp;A is expected to be included in the cost.  In contrast, when collaborating with an outside, non-UC entity full cost including F&amp;A is appropriate to see as a component of the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cost due.</w:t>
            </w:r>
          </w:p>
        </w:tc>
        <w:tc>
          <w:tcPr>
            <w:tcW w:w="34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BC70A" w14:textId="77777777" w:rsidR="00A1184C" w:rsidRPr="00363488" w:rsidRDefault="00A1184C" w:rsidP="00A118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UCSF may recover full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direct 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>costs,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however per agreement, no F&amp;A will be charged when working with a sister UC campus. In contrast, w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>hen colla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borating with an external non-UC entity Full cost including F&amp;A is recovered.</w:t>
            </w:r>
          </w:p>
        </w:tc>
        <w:tc>
          <w:tcPr>
            <w:tcW w:w="49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</w:tcPr>
          <w:p w14:paraId="463396CC" w14:textId="136BCFA8" w:rsidR="00A1184C" w:rsidRPr="00363488" w:rsidRDefault="00A1184C" w:rsidP="00A118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>A non-research agreement where UCSF agrees to collaborate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with or assist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 another institution. The agreement is normally non-monetary. Usually the agreement involves sharing space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or leveraging expertise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; e.g. having UCB personnel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occupy space at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 xml:space="preserve"> UCSF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and collaborate with UCSF personnel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>.  Parties often derive a significant non-monetary benefit such as space,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haring of expertise 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>etc.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63488">
              <w:rPr>
                <w:rFonts w:ascii="Calibri" w:hAnsi="Calibri"/>
                <w:color w:val="000000"/>
                <w:sz w:val="18"/>
                <w:szCs w:val="18"/>
              </w:rPr>
              <w:t>The agreement may be called a Memorandum of Understanding (MOU) or Letter of Understanding (LOU).</w:t>
            </w:r>
            <w:r w:rsidRPr="0036348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Example: A specific unit at UCSF agrees to develop a web site and provide web interface assistance with a complementary unit at UCSD.</w:t>
            </w:r>
          </w:p>
        </w:tc>
      </w:tr>
    </w:tbl>
    <w:p w14:paraId="749A2D3C" w14:textId="77777777" w:rsidR="00EE1250" w:rsidRDefault="00EE1250" w:rsidP="003B0E57">
      <w:pPr>
        <w:tabs>
          <w:tab w:val="left" w:pos="-422"/>
          <w:tab w:val="left" w:pos="1278"/>
          <w:tab w:val="left" w:pos="5598"/>
          <w:tab w:val="left" w:pos="8946"/>
        </w:tabs>
        <w:spacing w:after="0" w:line="240" w:lineRule="auto"/>
        <w:rPr>
          <w:rFonts w:ascii="Calibri" w:eastAsia="Times New Roman" w:hAnsi="Calibri" w:cs="Times New Roman"/>
          <w:b/>
          <w:bCs/>
          <w:color w:val="FFFFFF"/>
        </w:rPr>
      </w:pPr>
    </w:p>
    <w:p w14:paraId="59C64CBC" w14:textId="77777777" w:rsidR="00EE1250" w:rsidRDefault="00EE1250" w:rsidP="003B0E57">
      <w:pPr>
        <w:tabs>
          <w:tab w:val="left" w:pos="-422"/>
          <w:tab w:val="left" w:pos="1278"/>
          <w:tab w:val="left" w:pos="5598"/>
          <w:tab w:val="left" w:pos="8946"/>
        </w:tabs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EE1250">
        <w:rPr>
          <w:rFonts w:ascii="Calibri" w:eastAsia="Times New Roman" w:hAnsi="Calibri" w:cs="Times New Roman"/>
          <w:b/>
          <w:bCs/>
        </w:rPr>
        <w:t>FAQ</w:t>
      </w:r>
      <w:r w:rsidR="0064642C">
        <w:rPr>
          <w:rFonts w:ascii="Calibri" w:eastAsia="Times New Roman" w:hAnsi="Calibri" w:cs="Times New Roman"/>
          <w:b/>
          <w:bCs/>
        </w:rPr>
        <w:t xml:space="preserve"> Option:</w:t>
      </w:r>
    </w:p>
    <w:p w14:paraId="277A9E8B" w14:textId="77777777" w:rsidR="00EE1250" w:rsidRDefault="00EE1250" w:rsidP="003B0E57">
      <w:pPr>
        <w:tabs>
          <w:tab w:val="left" w:pos="-422"/>
          <w:tab w:val="left" w:pos="1278"/>
          <w:tab w:val="left" w:pos="5598"/>
          <w:tab w:val="left" w:pos="8946"/>
        </w:tabs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2620F099" w14:textId="77777777" w:rsidR="00EE1250" w:rsidRPr="00477904" w:rsidRDefault="00EE1250" w:rsidP="003B0E57">
      <w:pPr>
        <w:tabs>
          <w:tab w:val="left" w:pos="-422"/>
          <w:tab w:val="left" w:pos="1278"/>
          <w:tab w:val="left" w:pos="5598"/>
          <w:tab w:val="left" w:pos="8946"/>
        </w:tabs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477904">
        <w:rPr>
          <w:rFonts w:ascii="Calibri" w:eastAsia="Times New Roman" w:hAnsi="Calibri" w:cs="Times New Roman"/>
          <w:b/>
          <w:bCs/>
        </w:rPr>
        <w:t xml:space="preserve">Q:  What F&amp;A Rate do I charge when the receiving </w:t>
      </w:r>
      <w:r w:rsidR="0064642C">
        <w:rPr>
          <w:rFonts w:ascii="Calibri" w:eastAsia="Times New Roman" w:hAnsi="Calibri" w:cs="Times New Roman"/>
          <w:b/>
          <w:bCs/>
        </w:rPr>
        <w:t>a</w:t>
      </w:r>
      <w:r w:rsidRPr="00477904">
        <w:rPr>
          <w:rFonts w:ascii="Calibri" w:eastAsia="Times New Roman" w:hAnsi="Calibri" w:cs="Times New Roman"/>
          <w:b/>
          <w:bCs/>
        </w:rPr>
        <w:t xml:space="preserve"> </w:t>
      </w:r>
      <w:r w:rsidR="00BA1161">
        <w:rPr>
          <w:rFonts w:ascii="Calibri" w:eastAsia="Times New Roman" w:hAnsi="Calibri" w:cs="Times New Roman"/>
          <w:b/>
          <w:bCs/>
        </w:rPr>
        <w:t>sub-</w:t>
      </w:r>
      <w:r w:rsidRPr="00477904">
        <w:rPr>
          <w:rFonts w:ascii="Calibri" w:eastAsia="Times New Roman" w:hAnsi="Calibri" w:cs="Times New Roman"/>
          <w:b/>
          <w:bCs/>
        </w:rPr>
        <w:t>award from another UC Campus?</w:t>
      </w:r>
      <w:r w:rsidR="00477904">
        <w:rPr>
          <w:rFonts w:ascii="Calibri" w:eastAsia="Times New Roman" w:hAnsi="Calibri" w:cs="Times New Roman"/>
          <w:b/>
          <w:bCs/>
        </w:rPr>
        <w:br/>
      </w:r>
    </w:p>
    <w:p w14:paraId="58BAD69A" w14:textId="5D3399B0" w:rsidR="0064642C" w:rsidRDefault="00762CBB" w:rsidP="005118FF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A:  </w:t>
      </w:r>
      <w:r w:rsidR="003B27E8">
        <w:rPr>
          <w:rFonts w:ascii="Calibri" w:eastAsia="Times New Roman" w:hAnsi="Calibri" w:cs="Times New Roman"/>
          <w:b/>
          <w:bCs/>
        </w:rPr>
        <w:t>First determine</w:t>
      </w:r>
      <w:r w:rsidR="005865CF" w:rsidRPr="00477904">
        <w:rPr>
          <w:rFonts w:ascii="Calibri" w:eastAsia="Times New Roman" w:hAnsi="Calibri" w:cs="Times New Roman"/>
          <w:b/>
          <w:bCs/>
        </w:rPr>
        <w:t xml:space="preserve"> if the other campus has received external funds to do this work</w:t>
      </w:r>
      <w:r w:rsidR="0064642C">
        <w:rPr>
          <w:rFonts w:ascii="Calibri" w:eastAsia="Times New Roman" w:hAnsi="Calibri" w:cs="Times New Roman"/>
          <w:b/>
          <w:bCs/>
        </w:rPr>
        <w:t xml:space="preserve">, and is </w:t>
      </w:r>
      <w:r w:rsidR="003B27E8">
        <w:rPr>
          <w:rFonts w:ascii="Calibri" w:eastAsia="Times New Roman" w:hAnsi="Calibri" w:cs="Times New Roman"/>
          <w:b/>
          <w:bCs/>
        </w:rPr>
        <w:t>sub</w:t>
      </w:r>
      <w:r w:rsidR="0064642C">
        <w:rPr>
          <w:rFonts w:ascii="Calibri" w:eastAsia="Times New Roman" w:hAnsi="Calibri" w:cs="Times New Roman"/>
          <w:b/>
          <w:bCs/>
        </w:rPr>
        <w:t>c</w:t>
      </w:r>
      <w:r w:rsidR="00654002" w:rsidRPr="00477904">
        <w:rPr>
          <w:rFonts w:ascii="Calibri" w:eastAsia="Times New Roman" w:hAnsi="Calibri" w:cs="Times New Roman"/>
          <w:b/>
          <w:bCs/>
        </w:rPr>
        <w:t xml:space="preserve">ontracting to UCSF or if the other campus is doing the work with purely internal funds.  </w:t>
      </w:r>
    </w:p>
    <w:p w14:paraId="0E0C3191" w14:textId="77777777" w:rsidR="00D72070" w:rsidRDefault="00D72070" w:rsidP="005118FF">
      <w:pPr>
        <w:rPr>
          <w:rFonts w:ascii="Calibri" w:hAnsi="Calibri"/>
          <w:b/>
          <w:color w:val="000000"/>
        </w:rPr>
      </w:pPr>
      <w:r w:rsidRPr="00477904">
        <w:rPr>
          <w:rFonts w:ascii="Calibri" w:hAnsi="Calibri"/>
          <w:b/>
          <w:color w:val="000000"/>
        </w:rPr>
        <w:t xml:space="preserve">When the other campus received an award to complete the work </w:t>
      </w:r>
      <w:r>
        <w:rPr>
          <w:rFonts w:ascii="Calibri" w:hAnsi="Calibri"/>
          <w:b/>
          <w:color w:val="000000"/>
        </w:rPr>
        <w:t>from an external source</w:t>
      </w:r>
      <w:r w:rsidRPr="00477904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and is subb</w:t>
      </w:r>
      <w:r w:rsidRPr="00477904">
        <w:rPr>
          <w:rFonts w:ascii="Calibri" w:hAnsi="Calibri"/>
          <w:b/>
          <w:color w:val="000000"/>
        </w:rPr>
        <w:t xml:space="preserve">ing out a portion </w:t>
      </w:r>
      <w:r>
        <w:rPr>
          <w:rFonts w:ascii="Calibri" w:hAnsi="Calibri"/>
          <w:b/>
          <w:color w:val="000000"/>
        </w:rPr>
        <w:t>of the project</w:t>
      </w:r>
      <w:r w:rsidRPr="00477904">
        <w:rPr>
          <w:rFonts w:ascii="Calibri" w:hAnsi="Calibri"/>
          <w:b/>
          <w:color w:val="000000"/>
        </w:rPr>
        <w:t>, UCSF collects total applicable F&amp;A on the full eligible direct costs at the appropriate UCSF indirect cost rate</w:t>
      </w:r>
      <w:r>
        <w:rPr>
          <w:rFonts w:ascii="Calibri" w:hAnsi="Calibri"/>
          <w:b/>
          <w:color w:val="000000"/>
        </w:rPr>
        <w:t xml:space="preserve"> (ICR)</w:t>
      </w:r>
      <w:r w:rsidRPr="00477904">
        <w:rPr>
          <w:rFonts w:ascii="Calibri" w:hAnsi="Calibri"/>
          <w:b/>
          <w:color w:val="000000"/>
        </w:rPr>
        <w:t>.</w:t>
      </w:r>
    </w:p>
    <w:p w14:paraId="2A90EE5E" w14:textId="15154AA4" w:rsidR="00D72070" w:rsidRPr="00D72070" w:rsidRDefault="00D72070" w:rsidP="005118FF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Example:</w:t>
      </w:r>
    </w:p>
    <w:p w14:paraId="12C7B48E" w14:textId="3DC5060E" w:rsidR="0064642C" w:rsidRDefault="005222C2" w:rsidP="005118FF">
      <w:pPr>
        <w:rPr>
          <w:rFonts w:ascii="Calibri" w:hAnsi="Calibri"/>
          <w:b/>
          <w:color w:val="000000"/>
        </w:rPr>
      </w:pPr>
      <w:r w:rsidRPr="00477904">
        <w:rPr>
          <w:rFonts w:ascii="Calibri" w:hAnsi="Calibri"/>
          <w:b/>
          <w:color w:val="000000"/>
        </w:rPr>
        <w:t>I</w:t>
      </w:r>
      <w:r w:rsidR="005118FF" w:rsidRPr="00477904">
        <w:rPr>
          <w:rFonts w:ascii="Calibri" w:hAnsi="Calibri"/>
          <w:b/>
          <w:color w:val="000000"/>
        </w:rPr>
        <w:t xml:space="preserve">f a </w:t>
      </w:r>
      <w:r w:rsidR="003316D7">
        <w:rPr>
          <w:rFonts w:ascii="Calibri" w:hAnsi="Calibri"/>
          <w:b/>
          <w:color w:val="000000"/>
        </w:rPr>
        <w:t xml:space="preserve">Federally-supported, on-campus </w:t>
      </w:r>
      <w:r w:rsidR="005118FF" w:rsidRPr="00477904">
        <w:rPr>
          <w:rFonts w:ascii="Calibri" w:hAnsi="Calibri"/>
          <w:b/>
          <w:color w:val="000000"/>
        </w:rPr>
        <w:t>research project</w:t>
      </w:r>
      <w:r w:rsidRPr="00477904">
        <w:rPr>
          <w:rFonts w:ascii="Calibri" w:hAnsi="Calibri"/>
          <w:b/>
          <w:color w:val="000000"/>
        </w:rPr>
        <w:t>,</w:t>
      </w:r>
      <w:r w:rsidR="005118FF" w:rsidRPr="00477904">
        <w:rPr>
          <w:rFonts w:ascii="Calibri" w:hAnsi="Calibri"/>
          <w:b/>
          <w:color w:val="000000"/>
        </w:rPr>
        <w:t xml:space="preserve"> the full Organized Research Rate for the </w:t>
      </w:r>
      <w:r w:rsidR="003316D7">
        <w:rPr>
          <w:rFonts w:ascii="Calibri" w:hAnsi="Calibri"/>
          <w:b/>
          <w:color w:val="000000"/>
        </w:rPr>
        <w:t xml:space="preserve">applicable </w:t>
      </w:r>
      <w:r w:rsidR="005118FF" w:rsidRPr="00477904">
        <w:rPr>
          <w:rFonts w:ascii="Calibri" w:hAnsi="Calibri"/>
          <w:b/>
          <w:color w:val="000000"/>
        </w:rPr>
        <w:t>year will apply. (</w:t>
      </w:r>
      <w:r w:rsidR="00BC5BFD">
        <w:t xml:space="preserve">ref: </w:t>
      </w:r>
      <w:hyperlink r:id="rId10" w:history="1">
        <w:r w:rsidR="00BC5BFD">
          <w:rPr>
            <w:rStyle w:val="Hyperlink"/>
          </w:rPr>
          <w:t>http://osr.ucsf.edu/fa-rates</w:t>
        </w:r>
      </w:hyperlink>
      <w:r w:rsidR="00BC5BFD">
        <w:t xml:space="preserve">; </w:t>
      </w:r>
      <w:r w:rsidR="005118FF" w:rsidRPr="00477904">
        <w:rPr>
          <w:rFonts w:ascii="Calibri" w:hAnsi="Calibri"/>
          <w:b/>
          <w:color w:val="000000"/>
        </w:rPr>
        <w:t>58</w:t>
      </w:r>
      <w:r w:rsidR="003316D7">
        <w:rPr>
          <w:rFonts w:ascii="Calibri" w:hAnsi="Calibri"/>
          <w:b/>
          <w:color w:val="000000"/>
        </w:rPr>
        <w:t>.5</w:t>
      </w:r>
      <w:r w:rsidR="005118FF" w:rsidRPr="00477904">
        <w:rPr>
          <w:rFonts w:ascii="Calibri" w:hAnsi="Calibri"/>
          <w:b/>
          <w:color w:val="000000"/>
        </w:rPr>
        <w:t>% for 201</w:t>
      </w:r>
      <w:r w:rsidR="003316D7">
        <w:rPr>
          <w:rFonts w:ascii="Calibri" w:hAnsi="Calibri"/>
          <w:b/>
          <w:color w:val="000000"/>
        </w:rPr>
        <w:t>5</w:t>
      </w:r>
      <w:r w:rsidR="005118FF" w:rsidRPr="00477904">
        <w:rPr>
          <w:rFonts w:ascii="Calibri" w:hAnsi="Calibri"/>
          <w:b/>
          <w:color w:val="000000"/>
        </w:rPr>
        <w:t>-1</w:t>
      </w:r>
      <w:r w:rsidR="003316D7">
        <w:rPr>
          <w:rFonts w:ascii="Calibri" w:hAnsi="Calibri"/>
          <w:b/>
          <w:color w:val="000000"/>
        </w:rPr>
        <w:t>6</w:t>
      </w:r>
      <w:r w:rsidR="005118FF" w:rsidRPr="00477904">
        <w:rPr>
          <w:rFonts w:ascii="Calibri" w:hAnsi="Calibri"/>
          <w:b/>
          <w:color w:val="000000"/>
        </w:rPr>
        <w:t>)</w:t>
      </w:r>
      <w:r w:rsidR="00EE1250" w:rsidRPr="00477904">
        <w:rPr>
          <w:rFonts w:ascii="Calibri" w:hAnsi="Calibri"/>
          <w:b/>
          <w:color w:val="000000"/>
        </w:rPr>
        <w:t>.</w:t>
      </w:r>
      <w:r w:rsidR="00CB666F">
        <w:rPr>
          <w:rFonts w:ascii="Calibri" w:hAnsi="Calibri"/>
          <w:b/>
          <w:color w:val="000000"/>
        </w:rPr>
        <w:t xml:space="preserve"> </w:t>
      </w:r>
      <w:r w:rsidR="0064642C">
        <w:rPr>
          <w:rFonts w:ascii="Calibri" w:hAnsi="Calibri"/>
          <w:b/>
          <w:color w:val="000000"/>
        </w:rPr>
        <w:t xml:space="preserve"> </w:t>
      </w:r>
      <w:r w:rsidR="003316D7">
        <w:rPr>
          <w:rFonts w:ascii="Calibri" w:hAnsi="Calibri"/>
          <w:b/>
          <w:color w:val="000000"/>
        </w:rPr>
        <w:t xml:space="preserve">If the research project is supported by non-Federal extramural funds, </w:t>
      </w:r>
      <w:r w:rsidR="00633594">
        <w:rPr>
          <w:rFonts w:ascii="Calibri" w:hAnsi="Calibri"/>
          <w:b/>
          <w:color w:val="000000"/>
        </w:rPr>
        <w:t>check the prime sponsor’s policy</w:t>
      </w:r>
      <w:r w:rsidR="003B27E8">
        <w:rPr>
          <w:rFonts w:ascii="Calibri" w:hAnsi="Calibri"/>
          <w:b/>
          <w:color w:val="000000"/>
        </w:rPr>
        <w:t xml:space="preserve"> for allowable indirect costs</w:t>
      </w:r>
      <w:r w:rsidR="00633594">
        <w:rPr>
          <w:rFonts w:ascii="Calibri" w:hAnsi="Calibri"/>
          <w:b/>
          <w:color w:val="000000"/>
        </w:rPr>
        <w:t>.</w:t>
      </w:r>
      <w:r w:rsidR="0064642C">
        <w:rPr>
          <w:rFonts w:ascii="Calibri" w:hAnsi="Calibri"/>
          <w:b/>
          <w:color w:val="000000"/>
        </w:rPr>
        <w:t xml:space="preserve"> </w:t>
      </w:r>
      <w:r w:rsidR="005118FF" w:rsidRPr="00477904">
        <w:rPr>
          <w:rFonts w:ascii="Calibri" w:hAnsi="Calibri"/>
          <w:b/>
          <w:color w:val="000000"/>
        </w:rPr>
        <w:t xml:space="preserve"> </w:t>
      </w:r>
    </w:p>
    <w:p w14:paraId="12666090" w14:textId="28B469F0" w:rsidR="00EE1250" w:rsidRDefault="0064642C" w:rsidP="005118FF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Alternatively, it sometimes happens that </w:t>
      </w:r>
      <w:r w:rsidR="005222C2" w:rsidRPr="00477904">
        <w:rPr>
          <w:rFonts w:ascii="Calibri" w:hAnsi="Calibri"/>
          <w:b/>
          <w:color w:val="000000"/>
        </w:rPr>
        <w:t>the sister</w:t>
      </w:r>
      <w:r w:rsidR="00EE1250" w:rsidRPr="00477904">
        <w:rPr>
          <w:rFonts w:ascii="Calibri" w:hAnsi="Calibri"/>
          <w:b/>
          <w:color w:val="000000"/>
        </w:rPr>
        <w:t xml:space="preserve"> UC campus is sponsoring the work</w:t>
      </w:r>
      <w:r w:rsidR="00CB666F">
        <w:rPr>
          <w:rFonts w:ascii="Calibri" w:hAnsi="Calibri"/>
          <w:b/>
          <w:color w:val="000000"/>
        </w:rPr>
        <w:t xml:space="preserve"> </w:t>
      </w:r>
      <w:r w:rsidR="00EE1250" w:rsidRPr="00477904">
        <w:rPr>
          <w:rFonts w:ascii="Calibri" w:hAnsi="Calibri"/>
          <w:b/>
          <w:color w:val="000000"/>
        </w:rPr>
        <w:t xml:space="preserve">and no outside funds </w:t>
      </w:r>
      <w:r w:rsidR="005222C2" w:rsidRPr="00477904">
        <w:rPr>
          <w:rFonts w:ascii="Calibri" w:hAnsi="Calibri"/>
          <w:b/>
          <w:color w:val="000000"/>
        </w:rPr>
        <w:t>a</w:t>
      </w:r>
      <w:r>
        <w:rPr>
          <w:rFonts w:ascii="Calibri" w:hAnsi="Calibri"/>
          <w:b/>
          <w:color w:val="000000"/>
        </w:rPr>
        <w:t>re sponsoring the activity. It this special case,</w:t>
      </w:r>
      <w:r w:rsidR="005222C2" w:rsidRPr="00477904">
        <w:rPr>
          <w:rFonts w:ascii="Calibri" w:hAnsi="Calibri"/>
          <w:b/>
          <w:color w:val="000000"/>
        </w:rPr>
        <w:t xml:space="preserve"> the transaction is considered internal and no ICR should be charged.  In the case where the sister campus is sponsoring the activity, </w:t>
      </w:r>
      <w:r w:rsidR="00492B49">
        <w:rPr>
          <w:rFonts w:ascii="Calibri" w:hAnsi="Calibri"/>
          <w:b/>
          <w:color w:val="000000"/>
        </w:rPr>
        <w:t>consider</w:t>
      </w:r>
      <w:r w:rsidR="00477904" w:rsidRPr="00477904">
        <w:rPr>
          <w:rFonts w:ascii="Calibri" w:hAnsi="Calibri"/>
          <w:b/>
          <w:color w:val="000000"/>
        </w:rPr>
        <w:t xml:space="preserve"> </w:t>
      </w:r>
      <w:r w:rsidR="00EE1250" w:rsidRPr="00477904">
        <w:rPr>
          <w:rFonts w:ascii="Calibri" w:hAnsi="Calibri"/>
          <w:b/>
          <w:color w:val="000000"/>
        </w:rPr>
        <w:t>establishing an MOU</w:t>
      </w:r>
      <w:r w:rsidR="00477904" w:rsidRPr="00477904">
        <w:rPr>
          <w:rFonts w:ascii="Calibri" w:hAnsi="Calibri"/>
          <w:b/>
          <w:color w:val="000000"/>
        </w:rPr>
        <w:t xml:space="preserve"> so both parties are clear on what to expect from the other. </w:t>
      </w:r>
    </w:p>
    <w:p w14:paraId="7C9337E5" w14:textId="77777777" w:rsidR="00E27DCE" w:rsidRDefault="00E27DCE" w:rsidP="005118FF">
      <w:pPr>
        <w:rPr>
          <w:rFonts w:ascii="Calibri" w:eastAsia="Times New Roman" w:hAnsi="Calibri" w:cs="Times New Roman"/>
          <w:b/>
          <w:bCs/>
        </w:rPr>
      </w:pPr>
    </w:p>
    <w:p w14:paraId="36D44640" w14:textId="77777777" w:rsidR="00BA1161" w:rsidRDefault="00EA179B" w:rsidP="005118FF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Q: What F&amp;A Rate </w:t>
      </w:r>
      <w:r w:rsidR="000862F4">
        <w:rPr>
          <w:rFonts w:ascii="Calibri" w:eastAsia="Times New Roman" w:hAnsi="Calibri" w:cs="Times New Roman"/>
          <w:b/>
          <w:bCs/>
        </w:rPr>
        <w:t>is applied</w:t>
      </w:r>
      <w:r>
        <w:rPr>
          <w:rFonts w:ascii="Calibri" w:eastAsia="Times New Roman" w:hAnsi="Calibri" w:cs="Times New Roman"/>
          <w:b/>
          <w:bCs/>
        </w:rPr>
        <w:t xml:space="preserve"> when contracting with another UC for a recharged activity?</w:t>
      </w:r>
    </w:p>
    <w:p w14:paraId="0897DB0C" w14:textId="77777777" w:rsidR="00EA179B" w:rsidRDefault="00EA179B" w:rsidP="005118FF">
      <w:pPr>
        <w:rPr>
          <w:rFonts w:ascii="Calibri" w:hAnsi="Calibri"/>
          <w:b/>
          <w:color w:val="000000"/>
        </w:rPr>
      </w:pPr>
      <w:r>
        <w:rPr>
          <w:rFonts w:ascii="Calibri" w:eastAsia="Times New Roman" w:hAnsi="Calibri" w:cs="Times New Roman"/>
          <w:b/>
          <w:bCs/>
        </w:rPr>
        <w:t xml:space="preserve">A: </w:t>
      </w:r>
      <w:r w:rsidRPr="00EA179B">
        <w:rPr>
          <w:rFonts w:ascii="Calibri" w:hAnsi="Calibri"/>
          <w:b/>
          <w:color w:val="000000"/>
        </w:rPr>
        <w:t>When standard products or services are received by UCSF from another UC campus</w:t>
      </w:r>
      <w:r>
        <w:rPr>
          <w:rFonts w:ascii="Calibri" w:hAnsi="Calibri"/>
          <w:b/>
          <w:color w:val="000000"/>
        </w:rPr>
        <w:t>, or UCSF provides standard products or services to a sister campus</w:t>
      </w:r>
      <w:r w:rsidRPr="00EA179B">
        <w:rPr>
          <w:rFonts w:ascii="Calibri" w:hAnsi="Calibri"/>
          <w:b/>
          <w:color w:val="000000"/>
        </w:rPr>
        <w:t xml:space="preserve"> no F&amp;A is paid as business is considered internal to the UC institution.</w:t>
      </w:r>
    </w:p>
    <w:p w14:paraId="44BB0E03" w14:textId="77777777" w:rsidR="00E27DCE" w:rsidRDefault="00E27DCE" w:rsidP="005118FF">
      <w:pPr>
        <w:rPr>
          <w:rFonts w:ascii="Calibri" w:hAnsi="Calibri"/>
          <w:b/>
          <w:color w:val="000000"/>
        </w:rPr>
      </w:pPr>
    </w:p>
    <w:p w14:paraId="57155AD6" w14:textId="77777777" w:rsidR="000862F4" w:rsidRDefault="000862F4" w:rsidP="005118FF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Q: What F&amp;A Rate is applicable when entering into a collaborative venture with a sister UC campus?</w:t>
      </w:r>
    </w:p>
    <w:p w14:paraId="02865002" w14:textId="72C079C4" w:rsidR="009E6B15" w:rsidRPr="00477904" w:rsidRDefault="00633594" w:rsidP="009E6B15">
      <w:pPr>
        <w:rPr>
          <w:rFonts w:ascii="Calibri" w:eastAsia="Times New Roman" w:hAnsi="Calibri" w:cs="Times New Roman"/>
          <w:b/>
          <w:bCs/>
        </w:rPr>
      </w:pPr>
      <w:r>
        <w:rPr>
          <w:rFonts w:ascii="Calibri" w:hAnsi="Calibri"/>
          <w:b/>
          <w:color w:val="000000"/>
        </w:rPr>
        <w:t>A: Determine</w:t>
      </w:r>
      <w:r w:rsidR="000862F4">
        <w:rPr>
          <w:rFonts w:ascii="Calibri" w:hAnsi="Calibri"/>
          <w:b/>
          <w:color w:val="000000"/>
        </w:rPr>
        <w:t xml:space="preserve"> if the activity is sponsored from </w:t>
      </w:r>
      <w:r w:rsidR="005E1076">
        <w:rPr>
          <w:rFonts w:ascii="Calibri" w:hAnsi="Calibri"/>
          <w:b/>
          <w:color w:val="000000"/>
        </w:rPr>
        <w:t xml:space="preserve">an external source or not.  </w:t>
      </w:r>
      <w:r w:rsidR="009E6B15">
        <w:rPr>
          <w:rFonts w:ascii="Calibri" w:hAnsi="Calibri"/>
          <w:b/>
          <w:color w:val="000000"/>
        </w:rPr>
        <w:t xml:space="preserve"> If sponsored from an external source treat as a subcontract and charge the appropriate full F&amp;A rate according the type of activity and sponsor.  If sponsored from campus or UC funds, while full direct costs should be recovered and campus’s made whole, no F&amp;A should be included in transferred costs.</w:t>
      </w:r>
    </w:p>
    <w:p w14:paraId="21D63FDC" w14:textId="77777777" w:rsidR="009E6B15" w:rsidRDefault="009E6B15" w:rsidP="005118FF">
      <w:pPr>
        <w:rPr>
          <w:rFonts w:ascii="Calibri" w:hAnsi="Calibri"/>
          <w:b/>
          <w:color w:val="000000"/>
        </w:rPr>
      </w:pPr>
    </w:p>
    <w:p w14:paraId="0264FE7F" w14:textId="77777777" w:rsidR="009E6B15" w:rsidRDefault="009E6B15" w:rsidP="005118FF">
      <w:pPr>
        <w:rPr>
          <w:rFonts w:ascii="Calibri" w:hAnsi="Calibri"/>
          <w:b/>
          <w:color w:val="000000"/>
        </w:rPr>
      </w:pPr>
    </w:p>
    <w:p w14:paraId="7783FB8A" w14:textId="77777777" w:rsidR="009E6B15" w:rsidRDefault="009E6B15" w:rsidP="005118FF">
      <w:pPr>
        <w:rPr>
          <w:rFonts w:ascii="Calibri" w:hAnsi="Calibri"/>
          <w:b/>
          <w:color w:val="000000"/>
        </w:rPr>
      </w:pPr>
    </w:p>
    <w:sectPr w:rsidR="009E6B15" w:rsidSect="00687B6F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3D"/>
    <w:rsid w:val="0002281E"/>
    <w:rsid w:val="000862F4"/>
    <w:rsid w:val="000F686E"/>
    <w:rsid w:val="001A033D"/>
    <w:rsid w:val="00223A0A"/>
    <w:rsid w:val="00226BB8"/>
    <w:rsid w:val="00260EC4"/>
    <w:rsid w:val="002F1AE5"/>
    <w:rsid w:val="00304EE0"/>
    <w:rsid w:val="003316D7"/>
    <w:rsid w:val="00363488"/>
    <w:rsid w:val="003A1D74"/>
    <w:rsid w:val="003B0E57"/>
    <w:rsid w:val="003B27E8"/>
    <w:rsid w:val="003C6273"/>
    <w:rsid w:val="003D1F67"/>
    <w:rsid w:val="003E0303"/>
    <w:rsid w:val="003E5E88"/>
    <w:rsid w:val="00477904"/>
    <w:rsid w:val="00492B49"/>
    <w:rsid w:val="004B4C30"/>
    <w:rsid w:val="004E5BDC"/>
    <w:rsid w:val="004F0232"/>
    <w:rsid w:val="004F07F0"/>
    <w:rsid w:val="005118FF"/>
    <w:rsid w:val="00517F1C"/>
    <w:rsid w:val="005222C2"/>
    <w:rsid w:val="005865CF"/>
    <w:rsid w:val="005C1D5A"/>
    <w:rsid w:val="005D25DC"/>
    <w:rsid w:val="005E1076"/>
    <w:rsid w:val="005E28EA"/>
    <w:rsid w:val="005E2D96"/>
    <w:rsid w:val="005E4D2D"/>
    <w:rsid w:val="006325AB"/>
    <w:rsid w:val="00633594"/>
    <w:rsid w:val="0064642C"/>
    <w:rsid w:val="00654002"/>
    <w:rsid w:val="00687B6F"/>
    <w:rsid w:val="006F4E5C"/>
    <w:rsid w:val="00762CBB"/>
    <w:rsid w:val="00763FFA"/>
    <w:rsid w:val="00771414"/>
    <w:rsid w:val="007C4B6B"/>
    <w:rsid w:val="008423DC"/>
    <w:rsid w:val="00887ECA"/>
    <w:rsid w:val="00906963"/>
    <w:rsid w:val="00966526"/>
    <w:rsid w:val="0099260C"/>
    <w:rsid w:val="009C4015"/>
    <w:rsid w:val="009E6B15"/>
    <w:rsid w:val="009E7CD6"/>
    <w:rsid w:val="00A1184C"/>
    <w:rsid w:val="00A441A5"/>
    <w:rsid w:val="00AE13BB"/>
    <w:rsid w:val="00AF4717"/>
    <w:rsid w:val="00AF5018"/>
    <w:rsid w:val="00BA1161"/>
    <w:rsid w:val="00BB4372"/>
    <w:rsid w:val="00BC5BFD"/>
    <w:rsid w:val="00BE537F"/>
    <w:rsid w:val="00C57BB4"/>
    <w:rsid w:val="00C57BE4"/>
    <w:rsid w:val="00CB666F"/>
    <w:rsid w:val="00CE32DF"/>
    <w:rsid w:val="00D72070"/>
    <w:rsid w:val="00E06C93"/>
    <w:rsid w:val="00E27DCE"/>
    <w:rsid w:val="00EA179B"/>
    <w:rsid w:val="00EC7F33"/>
    <w:rsid w:val="00EE1250"/>
    <w:rsid w:val="00F11328"/>
    <w:rsid w:val="00F2529C"/>
    <w:rsid w:val="00FD02E3"/>
    <w:rsid w:val="00FE6CF0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35D3"/>
  <w15:docId w15:val="{D7C673A7-6968-4CF2-9AC5-CDA5FC7F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33D"/>
    <w:rPr>
      <w:color w:val="0000FF"/>
      <w:u w:val="single"/>
    </w:rPr>
  </w:style>
  <w:style w:type="table" w:styleId="TableGrid">
    <w:name w:val="Table Grid"/>
    <w:basedOn w:val="TableNormal"/>
    <w:uiPriority w:val="59"/>
    <w:rsid w:val="001A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2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m.ucsf.edu/emf/guidelines-requirements-funds-received-extramural-sour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osr.ucsf.edu/fa-rat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osr.ucsf.edu/fa-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39DF5B43354AABBD0A2E5FBD7A04" ma:contentTypeVersion="10" ma:contentTypeDescription="Create a new document." ma:contentTypeScope="" ma:versionID="9e0be52b078982040998c1cbce6be989">
  <xsd:schema xmlns:xsd="http://www.w3.org/2001/XMLSchema" xmlns:xs="http://www.w3.org/2001/XMLSchema" xmlns:p="http://schemas.microsoft.com/office/2006/metadata/properties" xmlns:ns2="84576df1-a815-4e56-a1e4-e70d28e449aa" targetNamespace="http://schemas.microsoft.com/office/2006/metadata/properties" ma:root="true" ma:fieldsID="351ae0b91c72ff0646b77282ddbe5063" ns2:_="">
    <xsd:import namespace="84576df1-a815-4e56-a1e4-e70d28e44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6df1-a815-4e56-a1e4-e70d28e44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E728-C55D-4477-9E37-C90768A2A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1FC24-B9F5-41B6-8FAC-F952F9235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76df1-a815-4e56-a1e4-e70d28e44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F368B-D851-42E4-85D5-BDAD1D7F3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11AD6E-6153-4A9D-BB00-69DEED10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Gleichenhaus, Morissa</dc:creator>
  <cp:lastModifiedBy>Obelleiro, Kassie</cp:lastModifiedBy>
  <cp:revision>4</cp:revision>
  <cp:lastPrinted>2015-07-06T16:10:00Z</cp:lastPrinted>
  <dcterms:created xsi:type="dcterms:W3CDTF">2021-05-26T17:14:00Z</dcterms:created>
  <dcterms:modified xsi:type="dcterms:W3CDTF">2021-12-21T17:14:00Z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0x010100BBD139DF5B43354AABBD0A2E5FBD7A04</vt:lpwstr>
  </property>
</Properties>
</file>